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C" w:rsidRDefault="006236FA" w:rsidP="00F6676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block-33085587"/>
      <w:bookmarkStart w:id="2" w:name="block-33081646"/>
      <w:r w:rsidRPr="005D614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Свидетельством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тому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являются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следующие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выполняемые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программой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по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химии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функции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5D6147" w:rsidRPr="005D6147" w:rsidRDefault="005D6147" w:rsidP="005D61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5D6147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5D6147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предмета, изучаемого в рамках конкретного профиля;</w:t>
      </w:r>
    </w:p>
    <w:p w:rsidR="005D6147" w:rsidRPr="005D6147" w:rsidRDefault="005D6147" w:rsidP="005D61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организационно-планирующая, </w:t>
      </w:r>
      <w:proofErr w:type="gramStart"/>
      <w:r w:rsidRPr="005D6147">
        <w:rPr>
          <w:rFonts w:ascii="Times New Roman" w:hAnsi="Times New Roman"/>
          <w:color w:val="000000"/>
          <w:sz w:val="24"/>
          <w:szCs w:val="24"/>
        </w:rPr>
        <w:t>которая</w:t>
      </w:r>
      <w:proofErr w:type="gramEnd"/>
      <w:r w:rsidRPr="005D6147">
        <w:rPr>
          <w:rFonts w:ascii="Times New Roman" w:hAnsi="Times New Roman"/>
          <w:color w:val="000000"/>
          <w:sz w:val="24"/>
          <w:szCs w:val="24"/>
        </w:rPr>
        <w:t xml:space="preserve">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5D6147">
        <w:rPr>
          <w:rFonts w:ascii="Times New Roman" w:hAnsi="Times New Roman"/>
          <w:color w:val="000000"/>
          <w:sz w:val="24"/>
          <w:szCs w:val="24"/>
        </w:rPr>
        <w:t>достижений</w:t>
      </w:r>
      <w:proofErr w:type="gramEnd"/>
      <w:r w:rsidRPr="005D6147">
        <w:rPr>
          <w:rFonts w:ascii="Times New Roman" w:hAnsi="Times New Roman"/>
          <w:color w:val="000000"/>
          <w:sz w:val="24"/>
          <w:szCs w:val="24"/>
        </w:rPr>
        <w:t xml:space="preserve"> обучающихся в рамках итоговой аттестации в форме единого государственного экзамена по химии.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Программа для углублённого изучения химии: </w:t>
      </w:r>
    </w:p>
    <w:p w:rsidR="005D6147" w:rsidRPr="005D6147" w:rsidRDefault="005D6147" w:rsidP="005D61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5D6147" w:rsidRPr="005D6147" w:rsidRDefault="005D6147" w:rsidP="005D61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даёт примерное распределение учебного времени, рекомендуемого для изучения отдельных тем; </w:t>
      </w:r>
    </w:p>
    <w:p w:rsidR="005D6147" w:rsidRPr="005D6147" w:rsidRDefault="005D6147" w:rsidP="005D61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связей;</w:t>
      </w:r>
    </w:p>
    <w:p w:rsidR="005D6147" w:rsidRPr="005D6147" w:rsidRDefault="005D6147" w:rsidP="005D61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предметных), а также с учётом основных видов </w:t>
      </w: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учебно-познавательных действий обучающегося по освоению содержания предмета.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общеинтеллектуальных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надпредметный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характер.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фактологического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квантовомеханических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5D6147" w:rsidRPr="005D6147" w:rsidRDefault="005D6147" w:rsidP="005D61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5D6147" w:rsidRPr="005D6147" w:rsidRDefault="005D6147" w:rsidP="005D61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5D6147" w:rsidRPr="005D6147" w:rsidRDefault="005D6147" w:rsidP="005D61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</w:t>
      </w: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5D6147" w:rsidRPr="005D6147" w:rsidRDefault="005D6147" w:rsidP="005D61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5D6147" w:rsidRPr="005D6147" w:rsidRDefault="005D6147" w:rsidP="005D61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5D6147" w:rsidRPr="005D6147" w:rsidRDefault="005D6147" w:rsidP="005D61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5D6147" w:rsidRPr="005D6147" w:rsidRDefault="005D6147" w:rsidP="005D61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5D6147" w:rsidRPr="005D6147" w:rsidRDefault="005D6147" w:rsidP="005D61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a144c275-5dda-41db-8d94-37f2810a0979"/>
      <w:r w:rsidRPr="005D6147">
        <w:rPr>
          <w:rFonts w:ascii="Times New Roman" w:hAnsi="Times New Roman"/>
          <w:color w:val="000000"/>
          <w:sz w:val="24"/>
          <w:szCs w:val="24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3"/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5D6147" w:rsidRPr="005D6147">
          <w:pgSz w:w="11906" w:h="16383"/>
          <w:pgMar w:top="1134" w:right="850" w:bottom="1134" w:left="1701" w:header="720" w:footer="720" w:gutter="0"/>
          <w:cols w:space="720"/>
        </w:sect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lock-33085589"/>
      <w:bookmarkEnd w:id="1"/>
      <w:r w:rsidRPr="005B09B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ОРГАНИЧЕСКАЯ ХИМИЯ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Теоретические основы органической химии.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σ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π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нуклеофиле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электрофиле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мезомерный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эффекты).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IUPAC</w:t>
      </w:r>
      <w:r w:rsidRPr="005D6147">
        <w:rPr>
          <w:rFonts w:ascii="Times New Roman" w:hAnsi="Times New Roman"/>
          <w:color w:val="000000"/>
          <w:sz w:val="24"/>
          <w:szCs w:val="24"/>
        </w:rPr>
        <w:t>) и тривиальные названия отдельных представителей.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Особенности и классификация органических реакций.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-восстановительные реакции в органической химии.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Углеводороды.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Алканы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sp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углерода,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σ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-связь. Физические свойства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Химические свойства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Нахождение в природе. Способы получения и применение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Циклоалканы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циклобутан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) и обычных (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циклопентан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циклогексан)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Способы получения и применение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Алкены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sp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углерода,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σ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π</w:t>
      </w:r>
      <w:r w:rsidRPr="005D6147">
        <w:rPr>
          <w:rFonts w:ascii="Times New Roman" w:hAnsi="Times New Roman"/>
          <w:color w:val="000000"/>
          <w:sz w:val="24"/>
          <w:szCs w:val="24"/>
        </w:rPr>
        <w:t>-связи. Структурная и геометрическая (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цис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-транс-) изомерия. Физические свойства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Химические свойства: реакции присоединения, замещения в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α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Алкадиены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Классификация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(сопряжённые, изолированные, 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>кумулированные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Алкины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sp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углерода. Физические свойства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Химические свойства: реакции присоединения,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димеризации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тримеризации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окисления. Кислотные свойства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Ароматические углеводороды (арены). Гомологический ряд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Химические свойства бензола и его гомологов: реакции замещения в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кольце на примере алкильных радикалов, карбоксильной, гидроксильной,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амино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риформинг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пиролиз. Продукты переработки нефти, их применение в промышленности и в быту. 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Генетическая связь между различными классами углеводородов.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гидроксогруппу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нитрогруппу,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цианогруппу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дигалогеналканов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иодной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D6147">
        <w:rPr>
          <w:rFonts w:ascii="Times New Roman" w:hAnsi="Times New Roman"/>
          <w:color w:val="000000"/>
          <w:sz w:val="24"/>
          <w:szCs w:val="24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Кислородсодержащие органические соединения.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Простые эфиры, номенклатура и изомерия. Особенности физических и химических свойств.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Фенол. Строение молекулы, взаимное влияние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гидроксогруппы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бензольного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гидроксикарбоновых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5D6147">
        <w:rPr>
          <w:rFonts w:ascii="Times New Roman" w:hAnsi="Times New Roman"/>
          <w:i/>
          <w:color w:val="000000"/>
          <w:sz w:val="24"/>
          <w:szCs w:val="24"/>
        </w:rPr>
        <w:t>линолевая</w:t>
      </w:r>
      <w:proofErr w:type="spellEnd"/>
      <w:r w:rsidRPr="005D6147">
        <w:rPr>
          <w:rFonts w:ascii="Times New Roman" w:hAnsi="Times New Roman"/>
          <w:i/>
          <w:color w:val="000000"/>
          <w:sz w:val="24"/>
          <w:szCs w:val="24"/>
        </w:rPr>
        <w:t>, линоленовая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 кислоты. Способы получения и применение карбоновых кислот.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Мыла́ как соли высших карбоновых кислот, их моющее действие.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углеводов. Классификация углеводов (моно-,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- и полисахариды). Моносахариды: глюкоза, фруктоза, галактоза, рибоза,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дезоксирибоза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невосстанавливающие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иодом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диамминсеребра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D6147">
        <w:rPr>
          <w:rFonts w:ascii="Times New Roman" w:hAnsi="Times New Roman"/>
          <w:color w:val="000000"/>
          <w:sz w:val="24"/>
          <w:szCs w:val="24"/>
        </w:rPr>
        <w:t>) и гидроксидом меди(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D6147">
        <w:rPr>
          <w:rFonts w:ascii="Times New Roman" w:hAnsi="Times New Roman"/>
          <w:color w:val="000000"/>
          <w:sz w:val="24"/>
          <w:szCs w:val="24"/>
        </w:rPr>
        <w:t>)), реакция глицерина с гидроксидом меди(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D6147">
        <w:rPr>
          <w:rFonts w:ascii="Times New Roman" w:hAnsi="Times New Roman"/>
          <w:color w:val="000000"/>
          <w:sz w:val="24"/>
          <w:szCs w:val="24"/>
        </w:rPr>
        <w:t>), химические свойства раствора уксусной кислоты, взаимодействие раствора глюкозы с гидроксидом меди(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), взаимодействие крахмала с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иодом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Азотсодержащие органические соединения.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алкилирование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взаимодействие первичных аминов с азотистой кислотой. Соли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алкиламмония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Аминокислоты. Номенклатура и изомерия. Отдельные представители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α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-аминокислот: глицин,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аланин</w:t>
      </w:r>
      <w:proofErr w:type="spellEnd"/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5D6147">
        <w:rPr>
          <w:rFonts w:ascii="Times New Roman" w:hAnsi="Times New Roman"/>
          <w:color w:val="000000"/>
          <w:sz w:val="24"/>
          <w:szCs w:val="24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Высокомолекулярные соединения.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изопреновый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) и силиконы. Резина.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Полимеры специального назначения (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тефлон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кевлар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электропроводящие полимеры,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биоразлагаемые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полимеры).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Расчётные задачи.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связи.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География: полезные ископаемые, топливо.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ОБЩАЯ И НЕОРГАНИЧЕСКАЯ ХИМИЯ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Теоретические основы химии.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 Классификация химических элементов 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-элементы). Распределение электронов по атомным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орбиталям</w:t>
      </w:r>
      <w:proofErr w:type="spellEnd"/>
      <w:r w:rsidRPr="005D6147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лиганды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 Значение комплексных соединений. Понятие о координационной химии.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Шателье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pH</w:t>
      </w:r>
      <w:r w:rsidRPr="005D6147">
        <w:rPr>
          <w:rFonts w:ascii="Times New Roman" w:hAnsi="Times New Roman"/>
          <w:color w:val="000000"/>
          <w:sz w:val="24"/>
          <w:szCs w:val="24"/>
        </w:rPr>
        <w:t>) раствора. Гидролиз солей. Реакции ионного обмена.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Неорганическая химия.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Галогеноводороды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Сера. Нахождение в природе, способы получения, физические и химические свойства. Сероводород, сульфиды. Оксид серы(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5D6147">
        <w:rPr>
          <w:rFonts w:ascii="Times New Roman" w:hAnsi="Times New Roman"/>
          <w:color w:val="000000"/>
          <w:sz w:val="24"/>
          <w:szCs w:val="24"/>
        </w:rPr>
        <w:t>), оксид серы(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5D6147">
        <w:rPr>
          <w:rFonts w:ascii="Times New Roman" w:hAnsi="Times New Roman"/>
          <w:color w:val="000000"/>
          <w:sz w:val="24"/>
          <w:szCs w:val="24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фосфин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 Оксиды фосфора, фосфорная кислота и её соли. Применение фосфора и его соединений. Фосфорные удобрения.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D6147">
        <w:rPr>
          <w:rFonts w:ascii="Times New Roman" w:hAnsi="Times New Roman"/>
          <w:color w:val="000000"/>
          <w:sz w:val="24"/>
          <w:szCs w:val="24"/>
        </w:rPr>
        <w:t>), оксид углерода(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), угольная кислота и её соли. Активированный уголь, адсорбция. Фуллерены,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графен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углеродные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нанотрубки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. Применение простых веществ, образованных углеродом, и его соединений.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Кремний. Нахождение в природе, способы получения, физические и химические свойства. Оксид кремния(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5D6147">
        <w:rPr>
          <w:rFonts w:ascii="Times New Roman" w:hAnsi="Times New Roman"/>
          <w:color w:val="000000"/>
          <w:sz w:val="24"/>
          <w:szCs w:val="24"/>
        </w:rPr>
        <w:t>), кремниевая кислота, силикаты. Применение кремния и его соединений. Стекло, его получение, виды стекла.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металлов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IA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металлов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IIA</w:t>
      </w:r>
      <w:r w:rsidRPr="005D6147">
        <w:rPr>
          <w:rFonts w:ascii="Times New Roman" w:hAnsi="Times New Roman"/>
          <w:color w:val="000000"/>
          <w:sz w:val="24"/>
          <w:szCs w:val="24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гидроксокомплексы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алюминия.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Общая характеристика металлов побочных подгрупп (Б-групп) Периодической системы химических элементов.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Физические и химические свойства хрома и его соединений. Оксиды и гидроксиды хрома(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D6147">
        <w:rPr>
          <w:rFonts w:ascii="Times New Roman" w:hAnsi="Times New Roman"/>
          <w:color w:val="000000"/>
          <w:sz w:val="24"/>
          <w:szCs w:val="24"/>
        </w:rPr>
        <w:t>), хрома(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5D6147">
        <w:rPr>
          <w:rFonts w:ascii="Times New Roman" w:hAnsi="Times New Roman"/>
          <w:color w:val="000000"/>
          <w:sz w:val="24"/>
          <w:szCs w:val="24"/>
        </w:rPr>
        <w:t>) и хрома(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5D6147">
        <w:rPr>
          <w:rFonts w:ascii="Times New Roman" w:hAnsi="Times New Roman"/>
          <w:color w:val="000000"/>
          <w:sz w:val="24"/>
          <w:szCs w:val="24"/>
        </w:rPr>
        <w:t>). Хроматы и дихроматы, их окислительные свойства. Получение и применение хрома.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Физические и химические свойства марганца и его соединений. Важнейшие соединения марганца(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D6147">
        <w:rPr>
          <w:rFonts w:ascii="Times New Roman" w:hAnsi="Times New Roman"/>
          <w:color w:val="000000"/>
          <w:sz w:val="24"/>
          <w:szCs w:val="24"/>
        </w:rPr>
        <w:t>), марганца(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5D6147">
        <w:rPr>
          <w:rFonts w:ascii="Times New Roman" w:hAnsi="Times New Roman"/>
          <w:color w:val="000000"/>
          <w:sz w:val="24"/>
          <w:szCs w:val="24"/>
        </w:rPr>
        <w:t>), марганца(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5D6147">
        <w:rPr>
          <w:rFonts w:ascii="Times New Roman" w:hAnsi="Times New Roman"/>
          <w:color w:val="000000"/>
          <w:sz w:val="24"/>
          <w:szCs w:val="24"/>
        </w:rPr>
        <w:t>) и марганца(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). Перманганат калия, его окислительные свойства.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Физические и химические свойства железа и его соединений. Оксиды, гидроксиды и соли железа(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D6147">
        <w:rPr>
          <w:rFonts w:ascii="Times New Roman" w:hAnsi="Times New Roman"/>
          <w:color w:val="000000"/>
          <w:sz w:val="24"/>
          <w:szCs w:val="24"/>
        </w:rPr>
        <w:t>) и железа(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5D6147">
        <w:rPr>
          <w:rFonts w:ascii="Times New Roman" w:hAnsi="Times New Roman"/>
          <w:color w:val="000000"/>
          <w:sz w:val="24"/>
          <w:szCs w:val="24"/>
        </w:rPr>
        <w:t>). Получение и применение железа и его сплавов.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Физические и химические свойства меди и её соединений. Получение и применение меди и её соединений.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гидроксокомплексы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цинка. Применение цинка и его соединений.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Химия и жизнь.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Химия пищи: основные компоненты, пищевые добавки. Роль химии в обеспечении пищевой безопасности.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Химия в строительстве: важнейшие строительные материалы (цемент, бетон).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Химия в сельском хозяйстве. Органические и минеральные удобрения.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Расчётные задачи.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связи.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География: минералы, горные породы, полезные ископаемые, топливо, ресурсы.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5D6147" w:rsidRPr="005D6147">
          <w:pgSz w:w="11906" w:h="16383"/>
          <w:pgMar w:top="1134" w:right="850" w:bottom="1134" w:left="1701" w:header="720" w:footer="720" w:gutter="0"/>
          <w:cols w:space="720"/>
        </w:sect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33085588"/>
      <w:bookmarkEnd w:id="4"/>
      <w:r w:rsidRPr="005B09BF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В соответствии с системно-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деятельностным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1) гражданского воспитания: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осознания обучающимися своих конституционных прав и обязанностей, уважения к закону и правопорядку;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2) патриотического воспитания: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ценностного отношения к историческому и научному наследию отечественной химии;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3) духовно-нравственного воспитания: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нравственного сознания, этического поведения;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4) формирования культуры здоровья: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осознания последствий и неприятия вредных привычек (употребления алкоголя, наркотиков, курения);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5) трудового воспитания: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уважения к труду, людям труда и результатам трудовой деятельности;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6) экологического воспитания: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экологически целесообразного отношения к природе как источнику существования жизни на Земле;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хемофобии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7) ценности научного познания: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мировоззрения, соответствующего современному уровню развития науки и общественной практики;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</w:t>
      </w: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интереса к познанию, исследовательской деятельности;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интереса к особенностям труда в различных сферах профессиональной деятельности.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по химии на уровне среднего общего образования включают: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значимые для формирования мировоззрения обучающихся междисциплинарные (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1) базовые логические действия: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выбирать основания и критерии для классификации веществ и химических реакций;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причинно-следственные связи между изучаемыми явлениями;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применять в процессе </w:t>
      </w:r>
      <w:proofErr w:type="gramStart"/>
      <w:r w:rsidRPr="005D6147">
        <w:rPr>
          <w:rFonts w:ascii="Times New Roman" w:hAnsi="Times New Roman"/>
          <w:color w:val="000000"/>
          <w:sz w:val="24"/>
          <w:szCs w:val="24"/>
        </w:rPr>
        <w:t>познания</w:t>
      </w:r>
      <w:proofErr w:type="gramEnd"/>
      <w:r w:rsidRPr="005D6147">
        <w:rPr>
          <w:rFonts w:ascii="Times New Roman" w:hAnsi="Times New Roman"/>
          <w:color w:val="000000"/>
          <w:sz w:val="24"/>
          <w:szCs w:val="24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</w:t>
      </w: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2) базовые исследовательские действия: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владеть основами методов научного познания веществ и химических реакций;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3) работа с информацией: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(физические и математические) знаки и символы, формулы, аббревиатуры, номенклатуру;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наглядности.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Default="005D6147" w:rsidP="005B09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="005B09BF" w:rsidRPr="005B09BF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действия:</w:t>
      </w:r>
    </w:p>
    <w:p w:rsidR="005B09BF" w:rsidRPr="005B09BF" w:rsidRDefault="005B09BF" w:rsidP="005B09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6147" w:rsidRPr="005D6147" w:rsidRDefault="005D6147" w:rsidP="005B09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задавать вопросы по существу обсуждаемой темы в ходе диалога и/или дискуссии, высказывать идеи, формулировать свои предложения относительно </w:t>
      </w:r>
      <w:r w:rsidR="005B09BF">
        <w:rPr>
          <w:rFonts w:ascii="Times New Roman" w:hAnsi="Times New Roman"/>
          <w:color w:val="000000"/>
          <w:sz w:val="24"/>
          <w:szCs w:val="24"/>
        </w:rPr>
        <w:t>выполнения предложенной задачи;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47" w:rsidRPr="005B09BF" w:rsidRDefault="005D6147" w:rsidP="005B09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Регулятивные </w:t>
      </w:r>
      <w:r w:rsidR="005B09BF" w:rsidRPr="005B09BF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действия:</w:t>
      </w:r>
    </w:p>
    <w:p w:rsidR="005D6147" w:rsidRPr="005D6147" w:rsidRDefault="005D6147" w:rsidP="005B09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</w:t>
      </w:r>
      <w:r w:rsidR="005B09BF">
        <w:rPr>
          <w:rFonts w:ascii="Times New Roman" w:hAnsi="Times New Roman"/>
          <w:color w:val="000000"/>
          <w:sz w:val="24"/>
          <w:szCs w:val="24"/>
        </w:rPr>
        <w:t xml:space="preserve">ществах и химических реакциях;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осуществлять самоконтроль деятельности на основе самоанализа и самооценки.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_Toc139840030"/>
      <w:bookmarkEnd w:id="6"/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Предметные результаты освоения курса «Органическая химия» отражают: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-атомные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основное и возбуждённое состояния атома, гибридизация атомных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ион, молекула, валентность,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мезомерный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эффекты,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ориентанты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 рода);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фактологические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выявлять характерные признаки понятий, устанавливать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составлять уравнения химических реакций и раскрывать их сущность: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IUPAC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аланин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мальтоза, фруктоза, анилин, дивинил, изопрен, хлоропрен, стирол и другие);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определять вид химической связи в органических соединениях (ковалентная и ионная связь,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σ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π</w:t>
      </w:r>
      <w:r w:rsidRPr="005D6147">
        <w:rPr>
          <w:rFonts w:ascii="Times New Roman" w:hAnsi="Times New Roman"/>
          <w:color w:val="000000"/>
          <w:sz w:val="24"/>
          <w:szCs w:val="24"/>
        </w:rPr>
        <w:t>-связь, водородная связь);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нитросоединений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и аминов, аминокислот, белков, углеводов (моно-,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σ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π</w:t>
      </w:r>
      <w:r w:rsidRPr="005D6147">
        <w:rPr>
          <w:rFonts w:ascii="Times New Roman" w:hAnsi="Times New Roman"/>
          <w:color w:val="000000"/>
          <w:sz w:val="24"/>
          <w:szCs w:val="24"/>
        </w:rPr>
        <w:t>-связи), взаимного влияния атомов и групп атомов в молекулах;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применять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</w:t>
      </w: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органической химии для объяснения и прогнозирования явлений, имеющих естественно-научную природу;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</w:rPr>
        <w:t>полученные знания для принятия грамотных решений проблем в ситуациях, связанных с химией;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оценивать их достоверность;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5D6147" w:rsidRPr="005B09BF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9BF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>Предметные результаты освоения курса «Общая и неорганическая химия» отражают: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147">
        <w:rPr>
          <w:rFonts w:ascii="Times New Roman" w:hAnsi="Times New Roman"/>
          <w:color w:val="000000"/>
          <w:sz w:val="24"/>
          <w:szCs w:val="24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-атомные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основное и возбуждённое состояния атома, гибридизация атомных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ион, молекула, валентность,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связь (ковалентная, ионная, металлическая, водородная), </w:t>
      </w: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 xml:space="preserve">кристаллическая решётка, химическая реакция, раствор, электролиты,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фактологические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IUPAC</w:t>
      </w:r>
      <w:r w:rsidRPr="005D6147">
        <w:rPr>
          <w:rFonts w:ascii="Times New Roman" w:hAnsi="Times New Roman"/>
          <w:color w:val="000000"/>
          <w:sz w:val="24"/>
          <w:szCs w:val="24"/>
        </w:rPr>
        <w:t>) и тривиальные названия отдельных веществ;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5D6147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5D6147">
        <w:rPr>
          <w:rFonts w:ascii="Times New Roman" w:hAnsi="Times New Roman"/>
          <w:color w:val="000000"/>
          <w:sz w:val="24"/>
          <w:szCs w:val="24"/>
        </w:rPr>
        <w:t xml:space="preserve">-атомные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», «основное и возбуждённое энергетические состояния атома»; объяснять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раскрывать сущность: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комплексообразования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(на примере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гидроксокомплексов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цинка и алюминия);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Шателье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>);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</w:rPr>
        <w:t>их достоверность;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D61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D6147">
        <w:rPr>
          <w:rFonts w:ascii="Times New Roman" w:hAnsi="Times New Roman"/>
          <w:color w:val="000000"/>
          <w:sz w:val="24"/>
          <w:szCs w:val="24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</w:t>
      </w:r>
      <w:r w:rsidRPr="005D6147">
        <w:rPr>
          <w:rFonts w:ascii="Times New Roman" w:hAnsi="Times New Roman"/>
          <w:color w:val="000000"/>
          <w:sz w:val="24"/>
          <w:szCs w:val="24"/>
        </w:rPr>
        <w:lastRenderedPageBreak/>
        <w:t>массовой информации, Интернет и другие), критически анализировать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</w:rPr>
        <w:t>химическую информацию, перерабатывать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</w:rPr>
        <w:t>её и использовать</w:t>
      </w:r>
      <w:r w:rsidRPr="005D61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147">
        <w:rPr>
          <w:rFonts w:ascii="Times New Roman" w:hAnsi="Times New Roman"/>
          <w:color w:val="000000"/>
          <w:sz w:val="24"/>
          <w:szCs w:val="24"/>
        </w:rPr>
        <w:t>в соответствии с поставленной учебной задачей</w:t>
      </w:r>
      <w:r w:rsidRPr="005D614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5D6147" w:rsidRPr="005D614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5D61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Pr="005D614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5D614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500"/>
        <w:gridCol w:w="817"/>
        <w:gridCol w:w="1598"/>
        <w:gridCol w:w="1655"/>
      </w:tblGrid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5568" w:type="dxa"/>
            <w:gridSpan w:val="2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Предельные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углеводороды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алканы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циклоалканы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Непредельные углеводороды: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>алкадиены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Ароматические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углеводороды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арены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Галогенпроизводные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углеводородов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556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Спирты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Фенол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Углеводы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5568" w:type="dxa"/>
            <w:gridSpan w:val="2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Амины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Аминокислоты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Белки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5568" w:type="dxa"/>
            <w:gridSpan w:val="2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Высокомолекулярные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соединения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5568" w:type="dxa"/>
            <w:gridSpan w:val="2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D6147" w:rsidTr="005D6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D6147" w:rsidRPr="005D6147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6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</w:tr>
    </w:tbl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  <w:sectPr w:rsidR="005D6147" w:rsidRPr="005D6147" w:rsidSect="005D614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B09BF" w:rsidRDefault="005B09BF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5D6147" w:rsidRPr="005D614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</w:p>
    <w:p w:rsidR="005D6147" w:rsidRPr="005D6147" w:rsidRDefault="005D6147" w:rsidP="005D61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5D614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3634"/>
        <w:gridCol w:w="808"/>
        <w:gridCol w:w="1587"/>
        <w:gridCol w:w="1685"/>
      </w:tblGrid>
      <w:tr w:rsidR="005D6147" w:rsidRPr="005B09BF" w:rsidTr="005B09BF">
        <w:trPr>
          <w:trHeight w:val="144"/>
          <w:tblCellSpacing w:w="20" w:type="nil"/>
        </w:trPr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5D6147" w:rsidRPr="005B09BF" w:rsidTr="005B0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Строение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веществ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Химические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реакции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5274" w:type="dxa"/>
            <w:gridSpan w:val="2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Неметаллы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Металлы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5274" w:type="dxa"/>
            <w:gridSpan w:val="2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в химии. Химия и жизнь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09BF" w:rsidRPr="005B09BF" w:rsidTr="005B09BF">
        <w:trPr>
          <w:trHeight w:val="144"/>
          <w:tblCellSpacing w:w="20" w:type="nil"/>
        </w:trPr>
        <w:tc>
          <w:tcPr>
            <w:tcW w:w="5274" w:type="dxa"/>
            <w:gridSpan w:val="2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B09BF" w:rsidRPr="005B09BF" w:rsidRDefault="005B09BF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6147" w:rsidRPr="005B09BF" w:rsidTr="005B0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B09B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5D6147" w:rsidRPr="005B09BF" w:rsidRDefault="005D6147" w:rsidP="005D6147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09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</w:tr>
      <w:bookmarkEnd w:id="2"/>
    </w:tbl>
    <w:p w:rsidR="005D6147" w:rsidRDefault="005D6147" w:rsidP="00AC59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ПОУРОЧНОЕ ПЛАНИРОВАНИЕ </w:t>
      </w: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715"/>
        <w:gridCol w:w="960"/>
        <w:gridCol w:w="1841"/>
        <w:gridCol w:w="1906"/>
        <w:gridCol w:w="1330"/>
      </w:tblGrid>
      <w:tr w:rsidR="0000530A" w:rsidTr="00537343">
        <w:tc>
          <w:tcPr>
            <w:tcW w:w="636" w:type="dxa"/>
            <w:vMerge w:val="restart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2" w:type="dxa"/>
            <w:vMerge w:val="restart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07" w:type="dxa"/>
            <w:gridSpan w:val="3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30" w:type="dxa"/>
            <w:vMerge w:val="restart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</w:tr>
      <w:tr w:rsidR="0000530A" w:rsidTr="00537343">
        <w:tc>
          <w:tcPr>
            <w:tcW w:w="636" w:type="dxa"/>
            <w:vMerge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1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190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1330" w:type="dxa"/>
            <w:vMerge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Химическая связь в органических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соединениях. Механизмы образования ковалентной связи, способы разрыва связей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>) органических веществ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Решение расчётных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 на 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-транс-изомерия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номенклатура, электронное и пространственное строение молекул, физические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Расчёты по уравнениям химических реакций.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галогенпроизводные. Взаимодействие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Простые эфиры: номенклатура и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изомерия, особенности физических и химических свойств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Изомерия и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 карбоновых кислот, их физические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реакции от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теоретически возможного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экспериментальных задач по теме "Азотсодержащие органические соединения"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3308" w:type="dxa"/>
            <w:gridSpan w:val="2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960" w:type="dxa"/>
          </w:tcPr>
          <w:p w:rsidR="0000530A" w:rsidRDefault="0000530A" w:rsidP="00537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41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00530A" w:rsidRDefault="0000530A" w:rsidP="00537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ПОУРОЧНОЕ ПЛАНИРОВАНИЕ </w:t>
      </w:r>
    </w:p>
    <w:p w:rsidR="0000530A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916"/>
        <w:gridCol w:w="947"/>
        <w:gridCol w:w="1841"/>
        <w:gridCol w:w="1906"/>
        <w:gridCol w:w="1325"/>
      </w:tblGrid>
      <w:tr w:rsidR="0000530A" w:rsidTr="00537343">
        <w:tc>
          <w:tcPr>
            <w:tcW w:w="636" w:type="dxa"/>
            <w:vMerge w:val="restart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2" w:type="dxa"/>
            <w:vMerge w:val="restart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07" w:type="dxa"/>
            <w:gridSpan w:val="3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30" w:type="dxa"/>
            <w:vMerge w:val="restart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</w:tr>
      <w:tr w:rsidR="0000530A" w:rsidTr="00537343">
        <w:tc>
          <w:tcPr>
            <w:tcW w:w="636" w:type="dxa"/>
            <w:vMerge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1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190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1330" w:type="dxa"/>
            <w:vMerge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атомным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конфигурации ионов.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 Д. И. Менделеева, связь с современной теорией строения атомов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Решение задач с использованием понятий "массовая доля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растворённого вещества", "молярная концентрация"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"Влияние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факторов на положение химического равновесия"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электонно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-ионного) баланса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>), кремниевая кислота, силикаты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теме "Неметаллы"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алюминия, </w:t>
            </w:r>
            <w:proofErr w:type="spellStart"/>
            <w:r w:rsidRPr="0037420F"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цинка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72" w:type="dxa"/>
            <w:vAlign w:val="center"/>
          </w:tcPr>
          <w:p w:rsidR="0000530A" w:rsidRDefault="0000530A" w:rsidP="005373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>теме "Металлы"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636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72" w:type="dxa"/>
            <w:vAlign w:val="center"/>
          </w:tcPr>
          <w:p w:rsidR="0000530A" w:rsidRPr="0037420F" w:rsidRDefault="0000530A" w:rsidP="00537343">
            <w:pPr>
              <w:ind w:left="135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60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  <w:r w:rsidRPr="003742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906" w:type="dxa"/>
            <w:vAlign w:val="center"/>
          </w:tcPr>
          <w:p w:rsidR="0000530A" w:rsidRDefault="0000530A" w:rsidP="00537343">
            <w:pPr>
              <w:ind w:left="135"/>
              <w:jc w:val="center"/>
            </w:pP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537343">
        <w:tc>
          <w:tcPr>
            <w:tcW w:w="3308" w:type="dxa"/>
            <w:gridSpan w:val="2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960" w:type="dxa"/>
          </w:tcPr>
          <w:p w:rsidR="0000530A" w:rsidRDefault="0000530A" w:rsidP="00537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41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00530A" w:rsidRDefault="0000530A" w:rsidP="00537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0" w:type="dxa"/>
          </w:tcPr>
          <w:p w:rsidR="0000530A" w:rsidRDefault="0000530A" w:rsidP="0053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30A" w:rsidRPr="00FA0DB5" w:rsidRDefault="0000530A" w:rsidP="00005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30A" w:rsidRDefault="0000530A" w:rsidP="00AC59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0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5E"/>
    <w:multiLevelType w:val="multilevel"/>
    <w:tmpl w:val="B2B676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773EC"/>
    <w:multiLevelType w:val="multilevel"/>
    <w:tmpl w:val="DFC64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91F60"/>
    <w:multiLevelType w:val="multilevel"/>
    <w:tmpl w:val="AA32BF2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E6D50"/>
    <w:multiLevelType w:val="multilevel"/>
    <w:tmpl w:val="E926F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24694"/>
    <w:multiLevelType w:val="multilevel"/>
    <w:tmpl w:val="A0F448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76BB1"/>
    <w:multiLevelType w:val="multilevel"/>
    <w:tmpl w:val="466AC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76C6E"/>
    <w:multiLevelType w:val="multilevel"/>
    <w:tmpl w:val="08F855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27A4F"/>
    <w:multiLevelType w:val="multilevel"/>
    <w:tmpl w:val="13C26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92065"/>
    <w:multiLevelType w:val="multilevel"/>
    <w:tmpl w:val="18781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C5736C"/>
    <w:multiLevelType w:val="multilevel"/>
    <w:tmpl w:val="87BA54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56"/>
    <w:rsid w:val="0000530A"/>
    <w:rsid w:val="00170856"/>
    <w:rsid w:val="00246493"/>
    <w:rsid w:val="00577F84"/>
    <w:rsid w:val="005B09BF"/>
    <w:rsid w:val="005D6147"/>
    <w:rsid w:val="006236FA"/>
    <w:rsid w:val="00840BCE"/>
    <w:rsid w:val="009A5CDD"/>
    <w:rsid w:val="00AC5936"/>
    <w:rsid w:val="00EF5CAA"/>
    <w:rsid w:val="00F22BF7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14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614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D614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614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1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D61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D614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D614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14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5D6147"/>
    <w:rPr>
      <w:lang w:val="en-US"/>
    </w:rPr>
  </w:style>
  <w:style w:type="paragraph" w:styleId="a6">
    <w:name w:val="Normal Indent"/>
    <w:basedOn w:val="a"/>
    <w:uiPriority w:val="99"/>
    <w:unhideWhenUsed/>
    <w:rsid w:val="005D6147"/>
    <w:pPr>
      <w:spacing w:after="200" w:line="276" w:lineRule="auto"/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5D614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5D61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5D614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5D61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5D6147"/>
    <w:rPr>
      <w:i/>
      <w:iCs/>
    </w:rPr>
  </w:style>
  <w:style w:type="character" w:styleId="ac">
    <w:name w:val="Hyperlink"/>
    <w:basedOn w:val="a0"/>
    <w:uiPriority w:val="99"/>
    <w:unhideWhenUsed/>
    <w:rsid w:val="005D6147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09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14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614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D614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614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1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D61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D614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D614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14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5D6147"/>
    <w:rPr>
      <w:lang w:val="en-US"/>
    </w:rPr>
  </w:style>
  <w:style w:type="paragraph" w:styleId="a6">
    <w:name w:val="Normal Indent"/>
    <w:basedOn w:val="a"/>
    <w:uiPriority w:val="99"/>
    <w:unhideWhenUsed/>
    <w:rsid w:val="005D6147"/>
    <w:pPr>
      <w:spacing w:after="200" w:line="276" w:lineRule="auto"/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5D614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5D61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5D614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5D61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5D6147"/>
    <w:rPr>
      <w:i/>
      <w:iCs/>
    </w:rPr>
  </w:style>
  <w:style w:type="character" w:styleId="ac">
    <w:name w:val="Hyperlink"/>
    <w:basedOn w:val="a0"/>
    <w:uiPriority w:val="99"/>
    <w:unhideWhenUsed/>
    <w:rsid w:val="005D6147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44</Pages>
  <Words>12241</Words>
  <Characters>69774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04000000681</dc:creator>
  <cp:keywords/>
  <dc:description/>
  <cp:lastModifiedBy>Тамара Зиновьева</cp:lastModifiedBy>
  <cp:revision>8</cp:revision>
  <cp:lastPrinted>2024-08-12T03:46:00Z</cp:lastPrinted>
  <dcterms:created xsi:type="dcterms:W3CDTF">2023-08-15T23:34:00Z</dcterms:created>
  <dcterms:modified xsi:type="dcterms:W3CDTF">2024-09-11T09:32:00Z</dcterms:modified>
</cp:coreProperties>
</file>