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Документ предоставлен </w:t>
      </w:r>
      <w:hyperlink r:id="rId8" w:tooltip="https://www.consultant.ru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КонсультантПлюс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  <w:t xml:space="preserve">Начало действия редакции - 03.05.2024.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Зарегистрировано в Минюсте России 29 декабря 2023 г. N 76764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МИНИСТЕРСТВО ПРОСВЕЩЕНИЯ РОССИЙСКОЙ ФЕДЕРАЦИИ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953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ФЕДЕРАЛЬНАЯ СЛУЖБА ПО НАДЗОРУ В СФЕРЕ ОБРАЗОВАНИЯ И НАУКИ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2116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от 18 декабря 2023 года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 УТВЕРЖДЕНИИ ЕДИНОГО РАСПИСАНИЯ И ПРОДОЛЖИТЕЛЬНОСТИ</w:t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ПРОВЕДЕНИЯ ЕДИНОГО ГОСУДАРСТВЕННОГО ЭКЗАМЕНА ПО КАЖДОМУ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УЧЕБНОМУ ПРЕДМЕТУ, ТРЕБОВАНИЙ К ИСПОЛЬЗОВАНИЮ СРЕДСТВ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ОБУЧЕНИЯ И ВОСПИТАНИЯ ПРИ ЕГО ПРОВЕДЕНИИ В 2024 ГОДУ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</w:t>
            </w:r>
            <w:hyperlink r:id="rId9" w:tooltip="https://login.consultant.ru/link/?req=doc&amp;base=LAW&amp;n=475007&amp;dst=100007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 Минпросвещения России N 244,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Рособрнадзора N 803 от 12.04.2024)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соответствии с </w:t>
      </w:r>
      <w:hyperlink r:id="rId10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5 статьи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11" w:tooltip="https://login.consultant.ru/link/?req=doc&amp;base=LAW&amp;n=470436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2" w:tooltip="https://login.consultant.ru/link/?req=doc&amp;base=LAW&amp;n=470436&amp;dst=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4.2.25 пункта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3" w:tooltip="https://login.consultant.ru/link/?req=doc&amp;base=LAW&amp;n=458783&amp;dst=10014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4" w:tooltip="https://login.consultant.ru/link/?req=doc&amp;base=LAW&amp;n=458783&amp;dst=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5.2.7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Утвердить следующее расписание проведения единого государственного экзамена (далее - ЕГЭ) в 2024 году: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1.1. Для лиц, указанных в </w:t>
      </w:r>
      <w:hyperlink r:id="rId15" w:tooltip="https://login.consultant.ru/link/?req=doc&amp;base=LAW&amp;n=447215&amp;dst=10002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r:id="rId16" w:tooltip="https://login.consultant.ru/link/?req=doc&amp;base=LAW&amp;n=447215&amp;dst=10004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7" w:tooltip="https://login.consultant.ru/link/?req=doc&amp;base=LAW&amp;n=447215&amp;dst=10007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азования, утвержденного приказом Министерства просвещения Российской Федерации и Федеральной службы по надзо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ру в сфере образования и науки от 4 апреля 2023 г. N 233/552 (зарегистрирован Министерством юстиции Российской Федерации 15 мая 2023 г., регистрационный N 73314), с изменениями, внесенными приказом Министерства просвещения Российской Федерации и Федерально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й службы по надзору в сфере образования и науки от 12 апреля 2023 г. N 243/802 (зарегистрирован Министерством юстиции Российской Федерации 19 апреля 2024 г., регистрационный N 77936) (далее - Порядок проведения ГИА), за исключением выпускников прошлых лет: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мая (четверг) - география, литература,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28 мая (вторник)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31 мая (пятница) - ЕГЭ по математике базового уровня, ЕГЭ по математике профильного уровня;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 июня (вторник) - обществознание,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 июня (пятница) - иностранные языки (английский, испанский, китайский, немецкий, французский) (устная часть), информатика;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8 июня (суббота) - иностранные языки (английский, испанский, китайский, немецкий, французский) (устная часть), информатика;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11 июня (вторник) - биология, иностранные языки (английский, испанский, китайский, немецкий, французский) (письменная часть), история.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(пп. 1.1 в ред. </w:t>
      </w:r>
      <w:hyperlink r:id="rId18" w:tooltip="https://login.consultant.ru/link/?req=doc&amp;base=LAW&amp;n=475007&amp;dst=10001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1.2. Для лиц, указанных в </w:t>
      </w:r>
      <w:hyperlink r:id="rId19" w:tooltip="https://login.consultant.ru/link/?req=doc&amp;base=LAW&amp;n=447215&amp;dst=10033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49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r:id="rId20" w:tooltip="https://login.consultant.ru/link/?req=doc&amp;base=LAW&amp;n=447215&amp;dst=10035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21" w:tooltip="https://login.consultant.ru/link/?req=doc&amp;base=LAW&amp;n=447215&amp;dst=1006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 апреля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апреля (четверг) - ЕГЭ по математике базового уровня, ЕГЭ по математике профильного уровня;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 июня (четверг) - география, литература, обществознание,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2" w:tooltip="https://login.consultant.ru/link/?req=doc&amp;base=LAW&amp;n=475007&amp;dst=100023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3" w:tooltip="https://login.consultant.ru/link/?req=doc&amp;base=LAW&amp;n=475007&amp;dst=100024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июня (вторник) - иностранные языки (английский, испанский, китайский, немецкий, французский) (устная часть), история,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4" w:tooltip="https://login.consultant.ru/link/?req=doc&amp;base=LAW&amp;n=475007&amp;dst=100025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 июня (среда) - биология, иностранные языки (английский, испанский, китайский, немецкий, французский) (письменная часть), информатика;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5" w:tooltip="https://login.consultant.ru/link/?req=doc&amp;base=LAW&amp;n=475007&amp;dst=100026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 июня (четверг) - ЕГЭ по математике базового уровня, ЕГЭ по математике профильного уровня;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6" w:tooltip="https://login.consultant.ru/link/?req=doc&amp;base=LAW&amp;n=475007&amp;dst=10002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 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 июня (пятница)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7" w:tooltip="https://login.consultant.ru/link/?req=doc&amp;base=LAW&amp;n=475007&amp;dst=10002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 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сентября (понедельник) - ЕГЭ по математике базового уровня, русский язык.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1.3. Для лиц, указанных в </w:t>
      </w:r>
      <w:hyperlink r:id="rId28" w:tooltip="https://login.consultant.ru/link/?req=doc&amp;base=LAW&amp;n=447215&amp;dst=10033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 марта (пятница) - география, литература;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 марта (вторник)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29 марта (пятница) - ЕГЭ по математике базового уровня, ЕГЭ по математике профильного уровня;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 апреля (вторник) - биология, иностранные языки (английский, испанский, китайский, немецкий, французский) (письменная часть),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 апреля (пятница) - иностранные языки (английский, испанский, китайский, немецкий, французский) (устная часть);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 апреля (вторник) - информатика, обществознание;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12 апреля (пятница) - история, химия.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1.4. Для лиц, указанных в </w:t>
      </w:r>
      <w:hyperlink r:id="rId29" w:tooltip="https://login.consultant.ru/link/?req=doc&amp;base=LAW&amp;n=447215&amp;dst=10033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51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 июня (четверг) - география, литература, обществознание,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июня (вторник) - иностранные языки (английский, испанский, китайский, немецкий, французский) (устная часть), история,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 июня (среда) - биология, иностранные языки (английский, испанский, китайский, немецкий, французский) (письменная часть), информатика;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 июня (четверг) - ЕГЭ по математике профильного уровня;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21 июня (пятница) - по всем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(пп. 1.4 в ред. </w:t>
      </w:r>
      <w:hyperlink r:id="rId30" w:tooltip="https://login.consultant.ru/link/?req=doc&amp;base=LAW&amp;n=475007&amp;dst=100029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1.5. Для лиц, указанных в </w:t>
      </w:r>
      <w:hyperlink r:id="rId31" w:tooltip="https://login.consultant.ru/link/?req=doc&amp;base=LAW&amp;n=447215&amp;dst=1006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94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 сентября (среда)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 сентября (понедельник) - ЕГЭ по математике базового уровня.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1.6. Для лиц, указанных в пункте 97(1) </w:t>
      </w:r>
      <w:hyperlink r:id="rId32" w:tooltip="https://login.consultant.ru/link/?req=doc&amp;base=LAW&amp;n=447215&amp;dst=1000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Порядка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проведения ГИА: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 июля (четверг) -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5 июля (пятница) -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(пп. 1.6 введен </w:t>
      </w:r>
      <w:hyperlink r:id="rId33" w:tooltip="https://login.consultant.ru/link/?req=doc&amp;base=LAW&amp;n=475007&amp;dst=100037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 803 от 12.04.2024)</w:t>
      </w:r>
      <w:r>
        <w:rPr>
          <w:rFonts w:ascii="Times New Roman" w:hAnsi="Times New Roman" w:cs="Times New Roman"/>
          <w:b w:val="0"/>
          <w:i/>
          <w:iCs/>
          <w:strike w:val="0"/>
          <w:sz w:val="24"/>
          <w:szCs w:val="24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Установить, что: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2.1. ЕГЭ по всем учебным предметам начинается в 10.00 по местному времени.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2.2. Продолжительность ЕГЭ по биологии, информатике, литературе, математике профильного уровня, физик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географии - непрограммируемый калькулятор;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информатике -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литературе - орфографический словарь, позволяющий устанавливать нормативное написание слов;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математике - линейка, не содержащая справочной информации (далее - линейка), для построения чертежей и рисунков;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физике - линейка для построения графиков и схем; непрограммируемый калькулятор;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Признать утратившими силу: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34" w:tooltip="https://login.consultant.ru/link/?req=doc&amp;base=LAW&amp;n=45115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35" w:tooltip="https://login.consultant.ru/link/?req=doc&amp;base=LAW&amp;n=4465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14 апреля 2023 г. N 269/615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hyperlink r:id="rId36" w:tooltip="https://login.consultant.ru/link/?req=doc&amp;base=LAW&amp;n=451090&amp;dst=1000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сания и продолжите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  991/1145 "Об утверждении единого расписания и продолжител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ржденных приказом Министерства просвещения Российской Федерации и Федеральной службы по надзору в сфере образования и науки от 27 июня 2023 г. N  483/1233 (зарегистрирован Министерством юстиции Российской Федерации 30 июня 2023 г., регистрационный N 74070).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Министр просвещения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С.С.КРАВЦОВ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Руководитель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Федеральной службы по надзору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сфере образования и науки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А.А.МУЗАЕВ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207" w:default="1">
    <w:name w:val="Default Paragraph Font"/>
    <w:uiPriority w:val="1"/>
    <w:semiHidden/>
    <w:unhideWhenUsed/>
  </w:style>
  <w:style w:type="numbering" w:styleId="1208" w:default="1">
    <w:name w:val="No List"/>
    <w:uiPriority w:val="99"/>
    <w:semiHidden/>
    <w:unhideWhenUsed/>
  </w:style>
  <w:style w:type="table" w:styleId="12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07&amp;dst=100007" TargetMode="External"/><Relationship Id="rId10" Type="http://schemas.openxmlformats.org/officeDocument/2006/relationships/hyperlink" Target="https://login.consultant.ru/link/?req=doc&amp;base=LAW&amp;n=456588&amp;dst=245" TargetMode="External"/><Relationship Id="rId11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70436&amp;dst=10" TargetMode="External"/><Relationship Id="rId13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58783&amp;dst=2" TargetMode="External"/><Relationship Id="rId15" Type="http://schemas.openxmlformats.org/officeDocument/2006/relationships/hyperlink" Target="https://login.consultant.ru/link/?req=doc&amp;base=LAW&amp;n=447215&amp;dst=100026" TargetMode="External"/><Relationship Id="rId16" Type="http://schemas.openxmlformats.org/officeDocument/2006/relationships/hyperlink" Target="https://login.consultant.ru/link/?req=doc&amp;base=LAW&amp;n=447215&amp;dst=100040" TargetMode="External"/><Relationship Id="rId17" Type="http://schemas.openxmlformats.org/officeDocument/2006/relationships/hyperlink" Target="https://login.consultant.ru/link/?req=doc&amp;base=LAW&amp;n=447215&amp;dst=100070" TargetMode="External"/><Relationship Id="rId18" Type="http://schemas.openxmlformats.org/officeDocument/2006/relationships/hyperlink" Target="https://login.consultant.ru/link/?req=doc&amp;base=LAW&amp;n=475007&amp;dst=100013" TargetMode="External"/><Relationship Id="rId19" Type="http://schemas.openxmlformats.org/officeDocument/2006/relationships/hyperlink" Target="https://login.consultant.ru/link/?req=doc&amp;base=LAW&amp;n=447215&amp;dst=100336" TargetMode="External"/><Relationship Id="rId20" Type="http://schemas.openxmlformats.org/officeDocument/2006/relationships/hyperlink" Target="https://login.consultant.ru/link/?req=doc&amp;base=LAW&amp;n=447215&amp;dst=100352" TargetMode="External"/><Relationship Id="rId21" Type="http://schemas.openxmlformats.org/officeDocument/2006/relationships/hyperlink" Target="https://login.consultant.ru/link/?req=doc&amp;base=LAW&amp;n=447215&amp;dst=100601" TargetMode="External"/><Relationship Id="rId22" Type="http://schemas.openxmlformats.org/officeDocument/2006/relationships/hyperlink" Target="https://login.consultant.ru/link/?req=doc&amp;base=LAW&amp;n=475007&amp;dst=100023" TargetMode="External"/><Relationship Id="rId23" Type="http://schemas.openxmlformats.org/officeDocument/2006/relationships/hyperlink" Target="https://login.consultant.ru/link/?req=doc&amp;base=LAW&amp;n=475007&amp;dst=100024" TargetMode="External"/><Relationship Id="rId24" Type="http://schemas.openxmlformats.org/officeDocument/2006/relationships/hyperlink" Target="https://login.consultant.ru/link/?req=doc&amp;base=LAW&amp;n=475007&amp;dst=100025" TargetMode="External"/><Relationship Id="rId25" Type="http://schemas.openxmlformats.org/officeDocument/2006/relationships/hyperlink" Target="https://login.consultant.ru/link/?req=doc&amp;base=LAW&amp;n=475007&amp;dst=100026" TargetMode="External"/><Relationship Id="rId26" Type="http://schemas.openxmlformats.org/officeDocument/2006/relationships/hyperlink" Target="https://login.consultant.ru/link/?req=doc&amp;base=LAW&amp;n=475007&amp;dst=100027" TargetMode="External"/><Relationship Id="rId27" Type="http://schemas.openxmlformats.org/officeDocument/2006/relationships/hyperlink" Target="https://login.consultant.ru/link/?req=doc&amp;base=LAW&amp;n=475007&amp;dst=100028" TargetMode="External"/><Relationship Id="rId28" Type="http://schemas.openxmlformats.org/officeDocument/2006/relationships/hyperlink" Target="https://login.consultant.ru/link/?req=doc&amp;base=LAW&amp;n=447215&amp;dst=100337" TargetMode="External"/><Relationship Id="rId29" Type="http://schemas.openxmlformats.org/officeDocument/2006/relationships/hyperlink" Target="https://login.consultant.ru/link/?req=doc&amp;base=LAW&amp;n=447215&amp;dst=100338" TargetMode="External"/><Relationship Id="rId30" Type="http://schemas.openxmlformats.org/officeDocument/2006/relationships/hyperlink" Target="https://login.consultant.ru/link/?req=doc&amp;base=LAW&amp;n=475007&amp;dst=100029" TargetMode="External"/><Relationship Id="rId31" Type="http://schemas.openxmlformats.org/officeDocument/2006/relationships/hyperlink" Target="https://login.consultant.ru/link/?req=doc&amp;base=LAW&amp;n=447215&amp;dst=100610" TargetMode="External"/><Relationship Id="rId32" Type="http://schemas.openxmlformats.org/officeDocument/2006/relationships/hyperlink" Target="https://login.consultant.ru/link/?req=doc&amp;base=LAW&amp;n=447215&amp;dst=100013" TargetMode="External"/><Relationship Id="rId33" Type="http://schemas.openxmlformats.org/officeDocument/2006/relationships/hyperlink" Target="https://login.consultant.ru/link/?req=doc&amp;base=LAW&amp;n=475007&amp;dst=100037" TargetMode="External"/><Relationship Id="rId34" Type="http://schemas.openxmlformats.org/officeDocument/2006/relationships/hyperlink" Target="https://login.consultant.ru/link/?req=doc&amp;base=LAW&amp;n=451157" TargetMode="External"/><Relationship Id="rId35" Type="http://schemas.openxmlformats.org/officeDocument/2006/relationships/hyperlink" Target="https://login.consultant.ru/link/?req=doc&amp;base=LAW&amp;n=446546" TargetMode="External"/><Relationship Id="rId36" Type="http://schemas.openxmlformats.org/officeDocument/2006/relationships/hyperlink" Target="https://login.consultant.ru/link/?req=doc&amp;base=LAW&amp;n=451090&amp;dst=10001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953, Рособрнадзора N 2116 от 18.12.2023(ред. от 12.04.2024)&amp;quot;Об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году&amp;quot;(Зарегистрировано в Минюсте России 29.12.2023 N 76764)</dc:title>
  <dc:creator/>
  <cp:revision>1</cp:revision>
  <dcterms:modified xsi:type="dcterms:W3CDTF">2024-04-24T02:22:23Z</dcterms:modified>
</cp:coreProperties>
</file>