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9" w:rsidRDefault="00536E39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</w:pPr>
      <w:bookmarkStart w:id="0" w:name="_GoBack"/>
      <w:r w:rsidRPr="00536E3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  <w:drawing>
          <wp:inline distT="0" distB="0" distL="0" distR="0" wp14:anchorId="187FD450" wp14:editId="650F6452">
            <wp:extent cx="6552050" cy="8912079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2619" cy="891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родному языку (русскому) для обучающихся 6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«РОДНОЙ ЯЗЫК (РУССКИЙ)»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«РОДНОЙ ЯЗЫК (РУССКИЙ)»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ОСНОВНЫЕ СОДЕРЖАТЕЛЬНЫЕ ЛИНИИ ПРОГРАММЫ УЧЕБНОГО  ПРЕДМЕТА «РУССКИЙ РОДНОЙ ЯЗЫК»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редставленного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блоке — «Речь. Речевая деятельность.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разных функционально-смысловых типов, жанров, стилистической принадлежности.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«РОДНОЙ ЯЗЫК (РУССКИЙ)» В УЧЕБНОМ ПЛАНЕ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382D4D" w:rsidRPr="00382D4D" w:rsidRDefault="00382D4D" w:rsidP="00382D4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6 классе в объеме 68 часов.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 культур.  Лексика,  заимствованная  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 </w:t>
      </w:r>
      <w:proofErr w:type="gram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речевые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русских и иностранных имён и фамилий; названий географических объектов; именительный падеж множественного числа существительных на </w:t>
      </w:r>
      <w:proofErr w:type="gram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</w:t>
      </w:r>
      <w:proofErr w:type="gramEnd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/-я и -ы/-и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родительный падеж множественного числа существительных мужского и среднего рода с нулевым окончанием и окончанием </w:t>
      </w:r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родительный падеж множественного числа существительных женского рода на </w:t>
      </w:r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Тексты описательного типа: определение, собственно описание, пояснение.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бывальщины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82D4D" w:rsidRPr="00382D4D" w:rsidRDefault="00382D4D" w:rsidP="00382D4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  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«Родной язык (русский)» в 6 классе направлено на достижение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382D4D" w:rsidRPr="00382D4D" w:rsidRDefault="00382D4D" w:rsidP="003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2D4D" w:rsidRPr="00382D4D" w:rsidRDefault="00382D4D" w:rsidP="003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382D4D" w:rsidRPr="00382D4D" w:rsidRDefault="00382D4D" w:rsidP="003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82D4D" w:rsidRPr="00382D4D" w:rsidRDefault="00382D4D" w:rsidP="003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необходимой для решения поставленной учебной задачи;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382D4D" w:rsidRPr="00382D4D" w:rsidRDefault="00382D4D" w:rsidP="00382D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382D4D" w:rsidRPr="00382D4D" w:rsidRDefault="00382D4D" w:rsidP="00382D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Принятие себя и других: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 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себя и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 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причины пополнения лексического состава языка; определять значения современных неологизмов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выявлять, анализировать и исправлять типичные речевые ошибки в устной и письменной речи;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</w:t>
      </w: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тексты описательного типа (определение понятия, пояснение, собственно описание);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жанры разговорной речи (рассказ о событии, «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бывальщины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др.) в ситуациях неформального общения;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учебно-научные тексты (различные виды ответов на уроке) в письменной и устной форме;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создании устного научного сообщения языковые средства, способствующие его композиционному оформлению;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382D4D" w:rsidTr="00382D4D">
        <w:tc>
          <w:tcPr>
            <w:tcW w:w="817" w:type="dxa"/>
          </w:tcPr>
          <w:p w:rsidR="00382D4D" w:rsidRDefault="00382D4D">
            <w:r>
              <w:t>№</w:t>
            </w:r>
          </w:p>
        </w:tc>
        <w:tc>
          <w:tcPr>
            <w:tcW w:w="7655" w:type="dxa"/>
          </w:tcPr>
          <w:p w:rsidR="00382D4D" w:rsidRDefault="00382D4D">
            <w:r>
              <w:t>Тема урока</w:t>
            </w:r>
          </w:p>
        </w:tc>
        <w:tc>
          <w:tcPr>
            <w:tcW w:w="1099" w:type="dxa"/>
          </w:tcPr>
          <w:p w:rsidR="00382D4D" w:rsidRDefault="00382D4D">
            <w:r>
              <w:t>Кол-во часов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Краткая история русского литературного языка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2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Диалекты как часть народной культуры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3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Лексические заимствования как результат взаимодействия национальных культур.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Особенности освоения иноязычной лексики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4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Современные неологизмы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5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Национально-культурная специфика русской фразеологии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6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Лексика и фразеология русского языка с точки зрения отражения в ней культуры и истории народа - носителя языка. Представление проектных, исследовательских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1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7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орфоэпические нормы современного русского литературного языка. Стилистические особенности произношения и ударения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8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лексические нормы современного русского литературного языка. Синонимы, антонимы, омонимы и точность речи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9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грамматические нормы современного русского литературного языка. Особенности словоизменения имён существительных, имён прилагательных, местоимений‚ порядковых и количественных числительных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10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Речевой этикет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11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«Правила хорошей речи». Представление </w:t>
            </w:r>
            <w:proofErr w:type="spell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проектных</w:t>
            </w:r>
            <w:proofErr w:type="gram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сследовательских</w:t>
            </w:r>
            <w:proofErr w:type="spell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2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12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Эффективные приёмы чтения.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Этапы работы с текстом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13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Тематическое единство текста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14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Тексты описательного типа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15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Разговорная речь. Рассказ о событии.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Бывальщина</w:t>
            </w:r>
            <w:proofErr w:type="gram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16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Научный стиль.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Словарная статья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17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Научное сообщение. Устный ответ. Виды ответов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18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Диалог с текстом. Представление проектных, исследовательских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3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</w:tbl>
    <w:p w:rsidR="00812480" w:rsidRDefault="00812480"/>
    <w:p w:rsidR="00382D4D" w:rsidRDefault="00382D4D" w:rsidP="00382D4D">
      <w:pPr>
        <w:spacing w:after="0" w:line="23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82D4D" w:rsidRPr="00382D4D" w:rsidRDefault="00382D4D" w:rsidP="00382D4D">
      <w:pPr>
        <w:spacing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82D4D" w:rsidRPr="00382D4D" w:rsidRDefault="00382D4D" w:rsidP="00382D4D">
      <w:pPr>
        <w:spacing w:before="346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82D4D" w:rsidRPr="00382D4D" w:rsidRDefault="00382D4D" w:rsidP="00382D4D">
      <w:pPr>
        <w:spacing w:before="166" w:after="0" w:line="259" w:lineRule="auto"/>
        <w:ind w:right="14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Русский родной язык, 6</w:t>
      </w:r>
      <w:r w:rsidRPr="00382D4D">
        <w:rPr>
          <w:rFonts w:ascii="Times New Roman" w:eastAsia="Times New Roman" w:hAnsi="Times New Roman"/>
          <w:color w:val="000000"/>
          <w:sz w:val="24"/>
        </w:rPr>
        <w:t xml:space="preserve"> класс/Александрова О.М., Загоровская О.В., Богданов С.И., Вербицкая Л.А.,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</w:t>
      </w:r>
      <w:r w:rsidRPr="00382D4D">
        <w:br/>
      </w:r>
      <w:r w:rsidRPr="00382D4D">
        <w:rPr>
          <w:rFonts w:ascii="Times New Roman" w:eastAsia="Times New Roman" w:hAnsi="Times New Roman"/>
          <w:color w:val="000000"/>
          <w:sz w:val="24"/>
        </w:rPr>
        <w:lastRenderedPageBreak/>
        <w:t xml:space="preserve">«Просвещение»; </w:t>
      </w:r>
      <w:r w:rsidRPr="00382D4D">
        <w:br/>
      </w:r>
      <w:r w:rsidRPr="00382D4D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82D4D" w:rsidRPr="00382D4D" w:rsidRDefault="00382D4D" w:rsidP="00382D4D">
      <w:pPr>
        <w:spacing w:before="262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82D4D" w:rsidRPr="00382D4D" w:rsidRDefault="00382D4D" w:rsidP="00382D4D">
      <w:pPr>
        <w:spacing w:before="166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Горбачевич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К. С. Русский язык: Прошлое. Настоящее. Будущее. — М., 1987.</w:t>
      </w:r>
    </w:p>
    <w:p w:rsidR="00382D4D" w:rsidRPr="00382D4D" w:rsidRDefault="00382D4D" w:rsidP="00382D4D">
      <w:pPr>
        <w:spacing w:before="72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Ипполитова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Н. А. Текст в системе обучения русскому языку в школе. — М., 1998.</w:t>
      </w:r>
    </w:p>
    <w:p w:rsidR="00382D4D" w:rsidRPr="00382D4D" w:rsidRDefault="00382D4D" w:rsidP="00382D4D">
      <w:pPr>
        <w:spacing w:before="72" w:after="0" w:line="262" w:lineRule="auto"/>
        <w:ind w:right="720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Ковтунова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Львов М. Р. Основы теории речи. — М., 2000.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Николина Н. А. Филологический анализ текста. — М., 2003.</w:t>
      </w:r>
    </w:p>
    <w:p w:rsidR="00382D4D" w:rsidRPr="00382D4D" w:rsidRDefault="00382D4D" w:rsidP="00382D4D">
      <w:pPr>
        <w:spacing w:before="70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Пахнова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Т. М. Готовимся к устным и письменным экзаменам по русскому языку. — М., 1997</w:t>
      </w:r>
    </w:p>
    <w:p w:rsidR="00382D4D" w:rsidRPr="00382D4D" w:rsidRDefault="00382D4D" w:rsidP="00382D4D">
      <w:pPr>
        <w:spacing w:before="262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82D4D" w:rsidRPr="00382D4D" w:rsidRDefault="00382D4D" w:rsidP="00382D4D">
      <w:pPr>
        <w:spacing w:before="166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http://www.drofa.ru — сайт издательства «Дрофа».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http://www.philology.ru — «Филологический портал».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http://www.gramma.ru — сайт «Культура письменной речи».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http://www.wikipedia.org — универсальная энциклопедия «Википедия».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http://www.krugosvet.ru — универсальная энциклопедия «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Кругосвет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>».</w:t>
      </w:r>
    </w:p>
    <w:p w:rsidR="00382D4D" w:rsidRPr="00382D4D" w:rsidRDefault="00382D4D" w:rsidP="00382D4D">
      <w:pPr>
        <w:spacing w:before="70" w:after="0" w:line="262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http://www.rubricon.com — энциклопедия «Рубрикой». http://www.slovari.ru — сайт «Русские словари</w:t>
      </w:r>
      <w:proofErr w:type="gramStart"/>
      <w:r w:rsidRPr="00382D4D">
        <w:rPr>
          <w:rFonts w:ascii="Times New Roman" w:eastAsia="Times New Roman" w:hAnsi="Times New Roman"/>
          <w:color w:val="000000"/>
          <w:sz w:val="24"/>
        </w:rPr>
        <w:t>»(</w:t>
      </w:r>
      <w:proofErr w:type="gramEnd"/>
      <w:r w:rsidRPr="00382D4D">
        <w:rPr>
          <w:rFonts w:ascii="Times New Roman" w:eastAsia="Times New Roman" w:hAnsi="Times New Roman"/>
          <w:color w:val="000000"/>
          <w:sz w:val="24"/>
        </w:rPr>
        <w:t>толковые словари, орфографический словарь, словари иностранных слов).</w:t>
      </w:r>
    </w:p>
    <w:p w:rsidR="00382D4D" w:rsidRPr="00382D4D" w:rsidRDefault="00382D4D" w:rsidP="00382D4D">
      <w:pPr>
        <w:spacing w:before="70" w:after="0" w:line="262" w:lineRule="auto"/>
        <w:ind w:right="144"/>
      </w:pPr>
      <w:r w:rsidRPr="00382D4D">
        <w:rPr>
          <w:rFonts w:ascii="Times New Roman" w:eastAsia="Times New Roman" w:hAnsi="Times New Roman"/>
          <w:color w:val="000000"/>
          <w:sz w:val="24"/>
        </w:rPr>
        <w:t xml:space="preserve">http://www.gramota.ru —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Грамота</w:t>
      </w:r>
      <w:proofErr w:type="gramStart"/>
      <w:r w:rsidRPr="00382D4D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82D4D">
        <w:rPr>
          <w:rFonts w:ascii="Times New Roman" w:eastAsia="Times New Roman" w:hAnsi="Times New Roman"/>
          <w:color w:val="000000"/>
          <w:sz w:val="24"/>
        </w:rPr>
        <w:t>у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(справочно-информационный интернет-портал «Русский язык»), http://www.rusword.com.ua — сайт по русской филологии «Мир русского слова».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http://www.about-russian-language.com — сайт по культуре речи.</w:t>
      </w:r>
    </w:p>
    <w:p w:rsidR="00382D4D" w:rsidRPr="00382D4D" w:rsidRDefault="00382D4D" w:rsidP="00382D4D">
      <w:pPr>
        <w:spacing w:before="70" w:after="0" w:line="262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http://www.languages-study.com/russian.html — база знаний по русскому языку (бесплатная справочная служба по русскому языку).</w:t>
      </w:r>
    </w:p>
    <w:p w:rsidR="00382D4D" w:rsidRPr="00382D4D" w:rsidRDefault="00382D4D" w:rsidP="00382D4D">
      <w:pPr>
        <w:spacing w:before="70" w:after="0" w:line="262" w:lineRule="auto"/>
        <w:ind w:right="1008"/>
      </w:pPr>
      <w:r w:rsidRPr="00382D4D">
        <w:rPr>
          <w:rFonts w:ascii="Times New Roman" w:eastAsia="Times New Roman" w:hAnsi="Times New Roman"/>
          <w:color w:val="000000"/>
          <w:sz w:val="24"/>
        </w:rPr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382D4D" w:rsidRPr="00382D4D" w:rsidRDefault="00382D4D" w:rsidP="00382D4D">
      <w:pPr>
        <w:spacing w:before="72" w:after="0" w:line="262" w:lineRule="auto"/>
        <w:ind w:right="144"/>
      </w:pPr>
      <w:r w:rsidRPr="00382D4D">
        <w:rPr>
          <w:rFonts w:ascii="Times New Roman" w:eastAsia="Times New Roman" w:hAnsi="Times New Roman"/>
          <w:color w:val="000000"/>
          <w:sz w:val="24"/>
        </w:rPr>
        <w:t xml:space="preserve">http://www.orfografus.ru —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русского языка. http://www.wordsland.ru — сайт «Страна слов. Магия языка», изучение русского языка в игровой форме.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http://www.school-collection.edu.ru — единая коллекция цифровых образовательных ресурсов.</w:t>
      </w:r>
    </w:p>
    <w:p w:rsidR="00382D4D" w:rsidRPr="00382D4D" w:rsidRDefault="00382D4D" w:rsidP="00382D4D">
      <w:pPr>
        <w:spacing w:before="70" w:after="0" w:line="262" w:lineRule="auto"/>
        <w:ind w:right="720"/>
      </w:pPr>
      <w:r w:rsidRPr="00382D4D">
        <w:rPr>
          <w:rFonts w:ascii="Times New Roman" w:eastAsia="Times New Roman" w:hAnsi="Times New Roman"/>
          <w:color w:val="000000"/>
          <w:sz w:val="24"/>
        </w:rPr>
        <w:t>http://www.urokirus.com — уроки русского языка онлайн (история языка, интересные статьи по филологии, словари, тестирование).</w:t>
      </w:r>
    </w:p>
    <w:p w:rsidR="00382D4D" w:rsidRPr="00382D4D" w:rsidRDefault="00382D4D" w:rsidP="00382D4D">
      <w:pPr>
        <w:spacing w:after="160" w:line="259" w:lineRule="auto"/>
      </w:pPr>
    </w:p>
    <w:p w:rsidR="00382D4D" w:rsidRDefault="00382D4D"/>
    <w:sectPr w:rsidR="0038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BC5"/>
    <w:multiLevelType w:val="multilevel"/>
    <w:tmpl w:val="CB6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0CF4"/>
    <w:multiLevelType w:val="multilevel"/>
    <w:tmpl w:val="45F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5D86"/>
    <w:multiLevelType w:val="multilevel"/>
    <w:tmpl w:val="5EF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D7C4E"/>
    <w:multiLevelType w:val="multilevel"/>
    <w:tmpl w:val="213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D7F4C"/>
    <w:multiLevelType w:val="multilevel"/>
    <w:tmpl w:val="C4B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662"/>
    <w:multiLevelType w:val="multilevel"/>
    <w:tmpl w:val="B21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C1C14"/>
    <w:multiLevelType w:val="multilevel"/>
    <w:tmpl w:val="E6A0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67D17"/>
    <w:multiLevelType w:val="multilevel"/>
    <w:tmpl w:val="48B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B4BD3"/>
    <w:multiLevelType w:val="multilevel"/>
    <w:tmpl w:val="26A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35AF6"/>
    <w:multiLevelType w:val="multilevel"/>
    <w:tmpl w:val="D43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23F19"/>
    <w:multiLevelType w:val="multilevel"/>
    <w:tmpl w:val="C05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A0049"/>
    <w:multiLevelType w:val="multilevel"/>
    <w:tmpl w:val="4A7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C7B56"/>
    <w:multiLevelType w:val="multilevel"/>
    <w:tmpl w:val="CA0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C752C"/>
    <w:multiLevelType w:val="multilevel"/>
    <w:tmpl w:val="EF6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46DE7"/>
    <w:multiLevelType w:val="multilevel"/>
    <w:tmpl w:val="FEF6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62F33"/>
    <w:multiLevelType w:val="multilevel"/>
    <w:tmpl w:val="C39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3614E"/>
    <w:multiLevelType w:val="multilevel"/>
    <w:tmpl w:val="756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A3CFE"/>
    <w:multiLevelType w:val="multilevel"/>
    <w:tmpl w:val="489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436C4"/>
    <w:multiLevelType w:val="multilevel"/>
    <w:tmpl w:val="541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51246"/>
    <w:multiLevelType w:val="multilevel"/>
    <w:tmpl w:val="700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D17DC"/>
    <w:multiLevelType w:val="multilevel"/>
    <w:tmpl w:val="F5F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70DFA"/>
    <w:multiLevelType w:val="multilevel"/>
    <w:tmpl w:val="AD5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20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19"/>
  </w:num>
  <w:num w:numId="15">
    <w:abstractNumId w:val="21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4D"/>
    <w:rsid w:val="001444ED"/>
    <w:rsid w:val="00201749"/>
    <w:rsid w:val="00382D4D"/>
    <w:rsid w:val="00536E39"/>
    <w:rsid w:val="008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82D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82D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7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6338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1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3</cp:revision>
  <dcterms:created xsi:type="dcterms:W3CDTF">2022-09-05T11:56:00Z</dcterms:created>
  <dcterms:modified xsi:type="dcterms:W3CDTF">2022-11-11T23:52:00Z</dcterms:modified>
</cp:coreProperties>
</file>